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lang w:val="en-IN"/>
        </w:rPr>
        <w:drawing>
          <wp:inline distT="0" distB="0" distL="0" distR="0">
            <wp:extent cx="6134100" cy="1981200"/>
            <wp:effectExtent l="0" t="0" r="0" b="0"/>
            <wp:docPr id="2" name="image1.png" descr="Rajalakshmi Engineering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ajalakshmi Engineering Colle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STRATEGIC PLAN FOR 20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-202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8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315" w:rsidRDefault="00F009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Times New Roman" w:hAnsi="Times New Roman" w:cs="Times New Roman"/>
          <w:b/>
          <w:color w:val="0D04C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4C4"/>
          <w:sz w:val="28"/>
          <w:szCs w:val="28"/>
        </w:rPr>
        <w:t>Contents</w:t>
      </w:r>
    </w:p>
    <w:sdt>
      <w:sdtPr>
        <w:id w:val="1726639300"/>
        <w:docPartObj>
          <w:docPartGallery w:val="Table of Contents"/>
          <w:docPartUnique/>
        </w:docPartObj>
      </w:sdtPr>
      <w:sdtEndPr/>
      <w:sdtContent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620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>I.</w:t>
            </w:r>
          </w:hyperlink>
          <w:hyperlink w:anchor="_heading=h.30j0zll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Long term Goals</w:t>
          </w:r>
          <w:r>
            <w:rPr>
              <w:noProof/>
              <w:color w:val="000000"/>
            </w:rPr>
            <w:tab/>
            <w:t>2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620"/>
            </w:tabs>
            <w:spacing w:after="100"/>
            <w:rPr>
              <w:color w:val="000000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</w:rPr>
              <w:t>II.</w:t>
            </w:r>
          </w:hyperlink>
          <w:hyperlink w:anchor="_heading=h.1fob9te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Short term Goals</w:t>
          </w:r>
          <w:r>
            <w:rPr>
              <w:noProof/>
              <w:color w:val="000000"/>
            </w:rPr>
            <w:tab/>
            <w:t>2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620"/>
            </w:tabs>
            <w:spacing w:after="100"/>
            <w:rPr>
              <w:color w:val="000000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</w:rPr>
              <w:t>III.</w:t>
            </w:r>
          </w:hyperlink>
          <w:hyperlink w:anchor="_heading=h.3znysh7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Focus Areas</w:t>
          </w:r>
          <w:r>
            <w:rPr>
              <w:noProof/>
              <w:color w:val="000000"/>
            </w:rPr>
            <w:tab/>
            <w:t>2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620"/>
            </w:tabs>
            <w:spacing w:after="100"/>
            <w:ind w:left="220"/>
            <w:rPr>
              <w:color w:val="000000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hyperlink>
          <w:hyperlink w:anchor="_heading=h.2et92p0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Academic Excellence</w:t>
          </w:r>
          <w:r>
            <w:rPr>
              <w:noProof/>
              <w:color w:val="000000"/>
            </w:rPr>
            <w:tab/>
            <w:t>2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620"/>
            </w:tabs>
            <w:spacing w:after="100"/>
            <w:ind w:left="220"/>
            <w:rPr>
              <w:color w:val="000000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hyperlink>
          <w:hyperlink w:anchor="_heading=h.tyjcwt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Research and Innovation</w:t>
          </w:r>
          <w:r>
            <w:rPr>
              <w:noProof/>
              <w:color w:val="000000"/>
            </w:rPr>
            <w:tab/>
            <w:t>2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620"/>
            </w:tabs>
            <w:spacing w:after="100"/>
            <w:ind w:left="220"/>
            <w:rPr>
              <w:color w:val="000000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hyperlink>
          <w:hyperlink w:anchor="_heading=h.3dy6vkm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</w:instrText>
          </w:r>
          <w:r>
            <w:instrText xml:space="preserve">EREF _heading=h.3dy6vkm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Infrastructure Development</w:t>
          </w:r>
          <w:r>
            <w:rPr>
              <w:noProof/>
              <w:color w:val="000000"/>
            </w:rPr>
            <w:tab/>
            <w:t>2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620"/>
            </w:tabs>
            <w:spacing w:after="100"/>
            <w:ind w:left="220"/>
            <w:rPr>
              <w:color w:val="000000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hyperlink>
          <w:hyperlink w:anchor="_heading=h.1t3h5sf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Industry Ins</w:t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titute Interaction</w:t>
          </w:r>
          <w:r>
            <w:rPr>
              <w:noProof/>
              <w:color w:val="000000"/>
            </w:rPr>
            <w:tab/>
            <w:t>3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620"/>
            </w:tabs>
            <w:spacing w:after="100"/>
            <w:ind w:left="220"/>
            <w:rPr>
              <w:color w:val="000000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hyperlink>
          <w:hyperlink w:anchor="_heading=h.4d34og8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Student Support</w:t>
          </w:r>
          <w:r>
            <w:rPr>
              <w:noProof/>
              <w:color w:val="000000"/>
            </w:rPr>
            <w:tab/>
            <w:t>3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620"/>
            </w:tabs>
            <w:spacing w:after="100"/>
            <w:ind w:left="220"/>
            <w:rPr>
              <w:color w:val="000000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hyperlink>
          <w:hyperlink w:anchor="_heading=h.2s8eyo1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Institutional Excellence</w:t>
          </w:r>
          <w:r>
            <w:rPr>
              <w:noProof/>
              <w:color w:val="000000"/>
            </w:rPr>
            <w:tab/>
            <w:t>3</w:t>
          </w:r>
          <w:r>
            <w:fldChar w:fldCharType="end"/>
          </w:r>
        </w:p>
        <w:p w:rsidR="00E17315" w:rsidRDefault="00F00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620"/>
            </w:tabs>
            <w:spacing w:after="100"/>
            <w:rPr>
              <w:color w:val="000000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</w:rPr>
              <w:t>IV.</w:t>
            </w:r>
          </w:hyperlink>
          <w:hyperlink w:anchor="_heading=h.17dp8vu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Focus Areas - Goals, Targets and KPIs</w:t>
          </w:r>
          <w:r>
            <w:rPr>
              <w:noProof/>
              <w:color w:val="000000"/>
            </w:rPr>
            <w:tab/>
            <w:t>3</w:t>
          </w:r>
          <w:r>
            <w:fldChar w:fldCharType="end"/>
          </w:r>
        </w:p>
        <w:p w:rsidR="00E17315" w:rsidRDefault="00F009B0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2 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institution Strategic Plan for 2018-2023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intended to methodically evolve the institute's excellence in academic, research, and industrial collaboration, student’s outreach, administration and infrastructure development goals. In spite of </w:t>
      </w:r>
      <w:r>
        <w:rPr>
          <w:rFonts w:ascii="Times New Roman" w:eastAsia="Times New Roman" w:hAnsi="Times New Roman" w:cs="Times New Roman"/>
          <w:sz w:val="24"/>
          <w:szCs w:val="24"/>
        </w:rPr>
        <w:t>pandemic lock-downs, we were able to achieve most of the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argets set except a few. 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a thorough analysis and review, the strategic plan for 2023-28 has been laid with, </w:t>
      </w:r>
    </w:p>
    <w:p w:rsidR="00E17315" w:rsidRDefault="00F009B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Improved targets on the achieved KPIs</w:t>
      </w:r>
    </w:p>
    <w:p w:rsidR="00E17315" w:rsidRDefault="00F009B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Revised strategies for the KPIs in which we were able to perform well but could not achieve the target</w:t>
      </w:r>
    </w:p>
    <w:p w:rsidR="00E17315" w:rsidRDefault="00F009B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Refined the KPIs and target where we are lagging 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17315" w:rsidRDefault="00F009B0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color w:val="0D04C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D04C4"/>
        </w:rPr>
        <w:t>Long term Goals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315" w:rsidRDefault="00F009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Among the top 50 in NIRF by 2028, and one of the best in the state.</w:t>
      </w:r>
    </w:p>
    <w:p w:rsidR="00E17315" w:rsidRDefault="00F009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Establishing a Ce</w:t>
      </w:r>
      <w:r>
        <w:rPr>
          <w:rFonts w:ascii="Times New Roman" w:eastAsia="Times New Roman" w:hAnsi="Times New Roman" w:cs="Times New Roman"/>
          <w:sz w:val="24"/>
          <w:szCs w:val="24"/>
        </w:rPr>
        <w:t>ntre of Excellence in all disciplines of the institute</w:t>
      </w:r>
    </w:p>
    <w:p w:rsidR="00E17315" w:rsidRDefault="00F009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 world-class teaching-learning environment includes education, research, development, and extension.</w:t>
      </w:r>
    </w:p>
    <w:p w:rsidR="00E17315" w:rsidRDefault="00F009B0">
      <w:pPr>
        <w:numPr>
          <w:ilvl w:val="0"/>
          <w:numId w:val="17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 a collaborative relationship with leading institutions in India and abroad to </w:t>
      </w:r>
    </w:p>
    <w:p w:rsidR="00E17315" w:rsidRDefault="00F009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accomplish mutual goals.</w:t>
      </w:r>
    </w:p>
    <w:p w:rsidR="00E17315" w:rsidRDefault="00F009B0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color w:val="0D04C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D04C4"/>
        </w:rPr>
        <w:t>Short term Goals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315" w:rsidRDefault="00F00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in the top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NIRF by 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best in the region.</w:t>
      </w:r>
    </w:p>
    <w:p w:rsidR="00E17315" w:rsidRDefault="00F00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ensure higher quality teaching, research, and extension services</w:t>
      </w:r>
    </w:p>
    <w:p w:rsidR="00E17315" w:rsidRDefault="00F00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systematize the academic process in curriculum design, content delivery, assessment, and evaluation.</w:t>
      </w:r>
    </w:p>
    <w:p w:rsidR="00E17315" w:rsidRDefault="00F00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introduce industry-relevant elective courses based on emerging needs.</w:t>
      </w:r>
    </w:p>
    <w:p w:rsidR="00E17315" w:rsidRDefault="00F00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nurture industrial collaboration to disseminate technical knowledge.</w:t>
      </w:r>
    </w:p>
    <w:p w:rsidR="00E17315" w:rsidRDefault="00F00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uplift society by addressing the local and regional technical needs.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315" w:rsidRDefault="00F009B0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color w:val="0D04C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D04C4"/>
        </w:rPr>
        <w:t>Focus Areas</w:t>
      </w:r>
    </w:p>
    <w:p w:rsidR="00E17315" w:rsidRDefault="00F009B0">
      <w:pPr>
        <w:pStyle w:val="Heading2"/>
        <w:numPr>
          <w:ilvl w:val="0"/>
          <w:numId w:val="9"/>
        </w:numPr>
        <w:rPr>
          <w:rFonts w:ascii="Times New Roman" w:eastAsia="Times New Roman" w:hAnsi="Times New Roman" w:cs="Times New Roman"/>
          <w:color w:val="C00000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C00000"/>
        </w:rPr>
        <w:t>Academic Excellence</w:t>
      </w: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333333"/>
          <w:highlight w:val="white"/>
        </w:rPr>
        <w:t>Objective: We will achieve academic excellence through recruiting, retaining, and supporting innovative faculty and through continuous assessment and s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trengthening of academic programs.</w:t>
      </w:r>
    </w:p>
    <w:p w:rsidR="00E17315" w:rsidRDefault="00F009B0">
      <w:pPr>
        <w:pStyle w:val="Heading2"/>
        <w:numPr>
          <w:ilvl w:val="0"/>
          <w:numId w:val="9"/>
        </w:numPr>
        <w:rPr>
          <w:rFonts w:ascii="Times New Roman" w:eastAsia="Times New Roman" w:hAnsi="Times New Roman" w:cs="Times New Roman"/>
          <w:color w:val="C00000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color w:val="C00000"/>
        </w:rPr>
        <w:lastRenderedPageBreak/>
        <w:t>Research and Innovation</w:t>
      </w: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333333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highlight w:val="white"/>
        </w:rPr>
        <w:t>Objective: Organize &amp; Support the research activities with all means to solve problem industrial and societal relevance.</w:t>
      </w:r>
    </w:p>
    <w:p w:rsidR="00E17315" w:rsidRDefault="00F009B0">
      <w:pPr>
        <w:pStyle w:val="Heading2"/>
        <w:numPr>
          <w:ilvl w:val="0"/>
          <w:numId w:val="9"/>
        </w:numPr>
        <w:rPr>
          <w:rFonts w:ascii="Times New Roman" w:eastAsia="Times New Roman" w:hAnsi="Times New Roman" w:cs="Times New Roman"/>
          <w:color w:val="C00000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color w:val="C00000"/>
        </w:rPr>
        <w:t>Infrastructure Development</w:t>
      </w: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333333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highlight w:val="white"/>
        </w:rPr>
        <w:t>Objective: Build resilient infrastructure, promote inclusive and sustainable industrialization and foster innovation.</w:t>
      </w:r>
    </w:p>
    <w:p w:rsidR="00E17315" w:rsidRDefault="00F009B0">
      <w:pPr>
        <w:pStyle w:val="Heading2"/>
        <w:numPr>
          <w:ilvl w:val="0"/>
          <w:numId w:val="9"/>
        </w:numPr>
        <w:rPr>
          <w:rFonts w:ascii="Times New Roman" w:eastAsia="Times New Roman" w:hAnsi="Times New Roman" w:cs="Times New Roman"/>
          <w:color w:val="C00000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color w:val="C00000"/>
        </w:rPr>
        <w:t>Industry Institute Interaction</w:t>
      </w: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333333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Objective: To evolve educational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highlight w:val="white"/>
        </w:rPr>
        <w:t>programmes</w:t>
      </w:r>
      <w:proofErr w:type="spellEnd"/>
      <w:r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which are consistent with the broad requirements of the industry and which can give rise to engineering personnel capable of coping-up with the accelerating pace of the technological development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highlight w:val="white"/>
        </w:rPr>
        <w:t>and  to</w:t>
      </w:r>
      <w:proofErr w:type="gramEnd"/>
      <w:r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enrich th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e  Consultancy  activities and industry interactions and collaborations</w:t>
      </w:r>
    </w:p>
    <w:p w:rsidR="00E17315" w:rsidRDefault="00F009B0">
      <w:pPr>
        <w:pStyle w:val="Heading2"/>
        <w:numPr>
          <w:ilvl w:val="0"/>
          <w:numId w:val="9"/>
        </w:numPr>
        <w:rPr>
          <w:rFonts w:ascii="Times New Roman" w:eastAsia="Times New Roman" w:hAnsi="Times New Roman" w:cs="Times New Roman"/>
          <w:color w:val="C00000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color w:val="C00000"/>
        </w:rPr>
        <w:t xml:space="preserve">Student Support </w:t>
      </w: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333333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highlight w:val="white"/>
        </w:rPr>
        <w:t>Objective: To develop and maintain high quality facilities that supports student engagement, retention, placement and aid well rounded growth before they graduate.</w:t>
      </w:r>
    </w:p>
    <w:p w:rsidR="00E17315" w:rsidRDefault="00F009B0">
      <w:pPr>
        <w:pStyle w:val="Heading2"/>
        <w:numPr>
          <w:ilvl w:val="0"/>
          <w:numId w:val="9"/>
        </w:numPr>
        <w:rPr>
          <w:rFonts w:ascii="Times New Roman" w:eastAsia="Times New Roman" w:hAnsi="Times New Roman" w:cs="Times New Roman"/>
          <w:color w:val="C00000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color w:val="C00000"/>
        </w:rPr>
        <w:t>Ins</w:t>
      </w:r>
      <w:r>
        <w:rPr>
          <w:rFonts w:ascii="Times New Roman" w:eastAsia="Times New Roman" w:hAnsi="Times New Roman" w:cs="Times New Roman"/>
          <w:color w:val="C00000"/>
        </w:rPr>
        <w:t xml:space="preserve">titutional Excellence </w:t>
      </w:r>
    </w:p>
    <w:p w:rsidR="00E17315" w:rsidRDefault="00F009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333333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</w:rPr>
        <w:t>Objective: To provide ongoing and sustained professional development opportunities designed to improve the student experience, expand scholarly work, and develop leadership behaviors across campus and Integrating and supporting the b</w:t>
      </w:r>
      <w:r>
        <w:rPr>
          <w:rFonts w:ascii="Times New Roman" w:eastAsia="Times New Roman" w:hAnsi="Times New Roman" w:cs="Times New Roman"/>
          <w:b/>
          <w:color w:val="333333"/>
        </w:rPr>
        <w:t>est practices in development and constituent engagement across the breadth of the institution.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  <w:sectPr w:rsidR="00E17315">
          <w:pgSz w:w="12240" w:h="15840"/>
          <w:pgMar w:top="1440" w:right="1440" w:bottom="1440" w:left="1170" w:header="720" w:footer="720" w:gutter="0"/>
          <w:pgNumType w:start="1"/>
          <w:cols w:space="720"/>
        </w:sectPr>
      </w:pP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E17315" w:rsidRDefault="00F009B0">
      <w:pPr>
        <w:pStyle w:val="Heading1"/>
        <w:numPr>
          <w:ilvl w:val="0"/>
          <w:numId w:val="3"/>
        </w:numPr>
        <w:rPr>
          <w:rFonts w:ascii="Times New Roman" w:eastAsia="Times New Roman" w:hAnsi="Times New Roman" w:cs="Times New Roman"/>
          <w:color w:val="0D04C4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color w:val="0D04C4"/>
        </w:rPr>
        <w:t>Focus Areas - Goals, Targets and KPIs</w:t>
      </w:r>
    </w:p>
    <w:p w:rsidR="00E17315" w:rsidRDefault="00E173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tbl>
      <w:tblPr>
        <w:tblStyle w:val="a0"/>
        <w:tblW w:w="15150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95"/>
        <w:gridCol w:w="3402"/>
        <w:gridCol w:w="2977"/>
        <w:gridCol w:w="4536"/>
      </w:tblGrid>
      <w:tr w:rsidR="00E17315">
        <w:trPr>
          <w:trHeight w:val="620"/>
        </w:trPr>
        <w:tc>
          <w:tcPr>
            <w:tcW w:w="1440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9"/>
                <w:szCs w:val="19"/>
              </w:rPr>
              <w:t>Focus Areas</w:t>
            </w:r>
          </w:p>
        </w:tc>
        <w:tc>
          <w:tcPr>
            <w:tcW w:w="2795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Goals</w:t>
            </w:r>
          </w:p>
        </w:tc>
        <w:tc>
          <w:tcPr>
            <w:tcW w:w="3402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9"/>
                <w:szCs w:val="19"/>
              </w:rPr>
              <w:t>Sub Goals</w:t>
            </w:r>
          </w:p>
        </w:tc>
        <w:tc>
          <w:tcPr>
            <w:tcW w:w="2977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9"/>
                <w:szCs w:val="19"/>
              </w:rPr>
              <w:t xml:space="preserve">Key Performance  Indicators </w:t>
            </w:r>
          </w:p>
        </w:tc>
        <w:tc>
          <w:tcPr>
            <w:tcW w:w="4536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19"/>
                <w:szCs w:val="19"/>
              </w:rPr>
              <w:t xml:space="preserve">Target </w:t>
            </w:r>
          </w:p>
        </w:tc>
      </w:tr>
      <w:tr w:rsidR="00E17315">
        <w:trPr>
          <w:trHeight w:val="2542"/>
        </w:trPr>
        <w:tc>
          <w:tcPr>
            <w:tcW w:w="1440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Academic Excellence 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2795" w:type="dxa"/>
          </w:tcPr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Comprehensive Curriculum Development for various UG &amp; PG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programmes</w:t>
            </w:r>
            <w:proofErr w:type="spellEnd"/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Effective Teaching Learning processes</w:t>
            </w:r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Systematic Continuous Assessment and End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Evaluation</w:t>
            </w:r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Improvement of knowledge and qualification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of  faculty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and their exposure and experience in the emerging areas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</w:p>
        </w:tc>
        <w:tc>
          <w:tcPr>
            <w:tcW w:w="3402" w:type="dxa"/>
          </w:tcPr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To frame well defined structure to revise the curriculum after regular interaction with stake holders for revision which 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aim at making the students readily employable,</w:t>
            </w:r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To ensure effective Teaching Learning by preparing comprehensive course material and using modern pedagogical tools. </w:t>
            </w:r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ensure effective assessment patterns by adopting Blooms taxonomy in setting question pap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ers and project-based learning and evaluation. </w:t>
            </w:r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PhD guidance by faculty and faculty obtaining /pursuing PhD</w:t>
            </w:r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Faculty taking up and completing NPTEL/MOOC courses</w:t>
            </w:r>
          </w:p>
          <w:p w:rsidR="00E17315" w:rsidRDefault="00F009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improve the subject knowledge and quality of the teachers through upskilling by certification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programs, FDP and sabbatical training in emerging technologies in their main and allied field of specialization.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2977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Number of</w:t>
            </w:r>
          </w:p>
          <w:p w:rsidR="00E17315" w:rsidRDefault="00F009B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Industry oriented electives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Students pass percentage</w:t>
            </w:r>
          </w:p>
          <w:p w:rsidR="00E17315" w:rsidRDefault="00F009B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Teachers upskilling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programmes</w:t>
            </w:r>
            <w:proofErr w:type="spellEnd"/>
          </w:p>
          <w:p w:rsidR="00E17315" w:rsidRDefault="00F009B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Value added programs</w:t>
            </w:r>
          </w:p>
          <w:p w:rsidR="00E17315" w:rsidRDefault="00F009B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Certifications</w:t>
            </w:r>
          </w:p>
          <w:p w:rsidR="00E17315" w:rsidRDefault="00F009B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Awards and recognitions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4536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To design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offer  two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courses in collaboration with industry for a minimum of 3 credits in all the disciplines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30% of credit with more options for students such as PE / OE / EEC / Industry Internship / Online Courses etc.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ensure at least 90% of students pass at the end of fourth year with at least 60% of them completing the program without history of arrears.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Every faculty to undergo 1 in every Year with minimum 5 days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</w:tr>
      <w:tr w:rsidR="00E17315">
        <w:tc>
          <w:tcPr>
            <w:tcW w:w="1440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Research and Innovation</w:t>
            </w:r>
          </w:p>
        </w:tc>
        <w:tc>
          <w:tcPr>
            <w:tcW w:w="2795" w:type="dxa"/>
          </w:tcPr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Setting up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of  Center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of Excellence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Promotion of Research and Publication of technical papers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>Preparing sponsored Research proposals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55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Innovative projects on social relevance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5" w:hanging="455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Formulation and filing of Patents  </w:t>
            </w:r>
          </w:p>
        </w:tc>
        <w:tc>
          <w:tcPr>
            <w:tcW w:w="3402" w:type="dxa"/>
          </w:tcPr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To establish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of excellence in emerging areas by building modern facilities with necessary equipment and project development activities. 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To promote research in recent developments such as Electric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Vehicle, Materials technology,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renewable energy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cognitive vision etc., which requires interdisciplinary knowledge.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enhance the number of publications by the faculty members in the reputed journals and awarding suitable incentives for the authors.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To plan and prepare project proposals seeking funds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from various agencies in niche areas.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motivate and guide students to come out with innovative projects including area of social relevance.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create an avenue for possible conversion of suitable projects to patents by faculty and students.</w:t>
            </w:r>
          </w:p>
        </w:tc>
        <w:tc>
          <w:tcPr>
            <w:tcW w:w="2977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>Number of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of Excellence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Sponsored Funded projects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Paper publications in Scopus / SCIE journals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>Patent filed.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Students innovative projects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4536" w:type="dxa"/>
          </w:tcPr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>To increase the number of faculty members involved in sponsored research to 80 at the end of 2023.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secure a total funding for sponsored research approximately 15 crores in five years.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>Per year 2N no. of papers from every department of N faculty in Scopus/SCI journals.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30 Number of patents applied annually.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At least 50% of the student projects, culmin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ates into publication in journal / conferences.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</w:tr>
      <w:tr w:rsidR="00E17315">
        <w:trPr>
          <w:trHeight w:val="1160"/>
        </w:trPr>
        <w:tc>
          <w:tcPr>
            <w:tcW w:w="1440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 xml:space="preserve">Industry-Institute interaction </w:t>
            </w:r>
          </w:p>
        </w:tc>
        <w:tc>
          <w:tcPr>
            <w:tcW w:w="2795" w:type="dxa"/>
          </w:tcPr>
          <w:p w:rsidR="00E17315" w:rsidRDefault="00F009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Including industry relevant courses in the curriculum.</w:t>
            </w:r>
          </w:p>
          <w:p w:rsidR="00E17315" w:rsidRDefault="00F009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Training the students for industry readiness </w:t>
            </w:r>
          </w:p>
          <w:p w:rsidR="00E17315" w:rsidRDefault="00F009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Promoting entrepreneurial initiatives. </w:t>
            </w:r>
          </w:p>
          <w:p w:rsidR="00E17315" w:rsidRDefault="00F009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Creating Incubation facilities.</w:t>
            </w:r>
          </w:p>
          <w:p w:rsidR="00E17315" w:rsidRDefault="00E173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</w:p>
        </w:tc>
        <w:tc>
          <w:tcPr>
            <w:tcW w:w="3402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 consultation with the relevant industry, identify certain courses relevant to industries which can be offered as an Elective course.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Offering programmed training in aptitude and other placement related courses to the students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Promote Faculty and Studen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 Linkages between REC and other institutions and industries for joint collaborative projects and knowledge sharing.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appoint adjunct faculty with industry exposure to offer courses for our students.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Incubation support for start-up activities in the campus.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extend proper support to connect interested faculty members with external opportunities.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Faculty to pursue and successfully complete industry-offered courses and to bring into effect in the curri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culum</w:t>
            </w:r>
          </w:p>
        </w:tc>
        <w:tc>
          <w:tcPr>
            <w:tcW w:w="2977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Number of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MoU’s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 signed</w:t>
            </w:r>
            <w:proofErr w:type="gramEnd"/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Consultancy projects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Students undergoing internship in industries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Startups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Incubation setups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Industrial Visits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Guest Lectures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Workshops by industry experts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In-plant trainings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Faculty undergoing Sabbaticals in relevant industries.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Students Industry projects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Courses designed and offered in collaboration with industries.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Industry –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offered 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programmes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successfully completed by faculty  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4536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Two Active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MoUs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/year/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dept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with min 2 activities/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MoU</w:t>
            </w:r>
            <w:proofErr w:type="spellEnd"/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increase the participation of faculty members involved in consultancy work to 20 percent.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To ensure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atleast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2% of students undergo internship through exchange programs in every two years.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2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– a 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minimum 10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conduct 2 pre-incubation activity per year to facilitate the "concept to product" cycle in order to cater the industrial needs.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To ensure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atleast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3 industrial visit every Academic Year for each class.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Increase number of core companies and ta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rget 3 / year/ class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ensure that all the students undergo 1 internship of 1 or 2 weeks at the end of every academic year.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To arrange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atleast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2 workshop every semester relevant to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by each department.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100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%  of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faculty undergoing sabbatical i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n relevant industries with min 5 days in 5 years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The number of industry-oriented projects by students should be 10 percent in each batch.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25 % of the faculty of CS Stream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 complete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a minimum of one industry – offered course in the 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>specialization applica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ble. For others 25%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undergo  a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sabbatical with min of 5 days in their relevant industry per annum.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establish a dedicated Industry Institute Interaction Cell for strengthening the inter-disciplinary consultancy activities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25 % of the faculty completed a minimum of one industry offered course in the specialization applicable.</w:t>
            </w:r>
          </w:p>
        </w:tc>
      </w:tr>
      <w:tr w:rsidR="00E17315">
        <w:trPr>
          <w:trHeight w:val="2870"/>
        </w:trPr>
        <w:tc>
          <w:tcPr>
            <w:tcW w:w="1440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 xml:space="preserve">Student support </w:t>
            </w:r>
          </w:p>
        </w:tc>
        <w:tc>
          <w:tcPr>
            <w:tcW w:w="2795" w:type="dxa"/>
          </w:tcPr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Efforts to raise the success index (graduations)</w:t>
            </w:r>
          </w:p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for enhancing the students’ placement</w:t>
            </w:r>
          </w:p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Preparing students for Higher Education</w:t>
            </w:r>
          </w:p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Providing opportunities for launching on Entrepreneurship</w:t>
            </w:r>
          </w:p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Involving students in Co-Curricular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and  Extra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-Curricular activities</w:t>
            </w:r>
          </w:p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Providing additional support for Slow learners</w:t>
            </w:r>
          </w:p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Students’ Talent enhancement and special c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oaching for Competitive Exams  </w:t>
            </w:r>
          </w:p>
          <w:p w:rsidR="00E17315" w:rsidRDefault="00F009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Obtaining students’ Feedback</w:t>
            </w:r>
          </w:p>
        </w:tc>
        <w:tc>
          <w:tcPr>
            <w:tcW w:w="3402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Increased participations in co-curricular activities as well as to create an environment that fosters leadership characteristics, teamwork, and professional ethics.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Special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focusing on underprivileged and differently abled sections of the society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provide value added training programs in niche areas.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provide internship opportunities and training for placement and coaching for competitive exams.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evo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lve a standard procedure for students undergoing special courses in other reputed universities in India or abroad.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produce industry ready graduates</w:t>
            </w:r>
          </w:p>
          <w:p w:rsidR="00E17315" w:rsidRDefault="00F0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Student support through constant mentoring and counseling activities for toppers to achieve much beyond curriculum and slow learners to improve their academic performance.</w:t>
            </w:r>
          </w:p>
          <w:p w:rsidR="00E17315" w:rsidRDefault="00E17315">
            <w:pP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Additional support to the students based on their feedback obtained from them in a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specific format.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Number of 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Percentage of Students graduated with first class and first class with distinction.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Placements with average CTC of 5 Lakhs minimum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students offered with higher packages of more than 10L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Students got admitted for higher studies 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Value added courses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Participations’ in co-curricular and extra-curricular activities at national and international level.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Membership in professional bodies</w:t>
            </w:r>
          </w:p>
          <w:p w:rsidR="00E17315" w:rsidRDefault="00F009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7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Students cleared GATE and other Competitive exams 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4536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 least one technical project competitions should be conducted by the departments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 encourage and support students so that at least 2% of them enroll for higher education in national and international universities and at least 50 students venture on entr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epreneurship in 5 Years.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17315">
        <w:tc>
          <w:tcPr>
            <w:tcW w:w="1440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>Infrastructure Development</w:t>
            </w:r>
          </w:p>
        </w:tc>
        <w:tc>
          <w:tcPr>
            <w:tcW w:w="2795" w:type="dxa"/>
          </w:tcPr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Maintaining state-of-art Laboratories for all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programmes</w:t>
            </w:r>
            <w:proofErr w:type="spellEnd"/>
          </w:p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Ensuring Wi-Fi facilities in the entire campus</w:t>
            </w:r>
          </w:p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Expanding Computing Facilities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and  e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-learning resources </w:t>
            </w:r>
          </w:p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Arranging Smart Class Rooms</w:t>
            </w:r>
          </w:p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Providing residential Accommodations</w:t>
            </w:r>
          </w:p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Augmenting Library facilities  </w:t>
            </w:r>
          </w:p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Maintaining Green Campus</w:t>
            </w:r>
          </w:p>
          <w:p w:rsidR="00E17315" w:rsidRDefault="00F00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5" w:hanging="45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Amenities for Disabled persons.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3402" w:type="dxa"/>
          </w:tcPr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Set-up a new state-of-the art academic laboratories and expanding the IT infrastructure facilities.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setup a Wi-Fi enabled campus for students to access the learning resources from anywhere.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establish smart class room facility.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develop or promote the use of e-learning facilities such as virtual labs, software tools etc.,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provide accommodations facilities for students taking residential training.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 add the recent text and reference books and also e- journal facility in the library.</w:t>
            </w:r>
          </w:p>
          <w:p w:rsidR="00E17315" w:rsidRDefault="00F009B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To maintain an environmental - friendly campus that effectively manages water, waste, s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anitation and maintains hygiene.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2977" w:type="dxa"/>
          </w:tcPr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Campus facilities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Lab facilities at 24 x 7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( Idea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and Build lab)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E journal access at Library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Computing facilities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Extended Central library access  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284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Number of seminar halls and central auditorium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4536" w:type="dxa"/>
          </w:tcPr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All classes to be equipped with ICT Facilities and Lecture Capturing System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 build up the hostel sector's capacity so that it can comfortably house all students and scholars.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 expand the laboratories and classrooms to accommodate the increase in numbe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 of students and research scholars.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Creation of an alumni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centre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at the institute to support alumni visits, activities and engagement.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Aiming to increase number of e-journals and e-books by 10 percent.</w:t>
            </w:r>
          </w:p>
          <w:p w:rsidR="00E17315" w:rsidRDefault="00F009B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Establishment and effective functioning of TBI Centre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 REC Campus.</w:t>
            </w:r>
          </w:p>
        </w:tc>
      </w:tr>
      <w:tr w:rsidR="00E17315">
        <w:tc>
          <w:tcPr>
            <w:tcW w:w="1440" w:type="dxa"/>
          </w:tcPr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Institutional Excellence</w:t>
            </w:r>
          </w:p>
        </w:tc>
        <w:tc>
          <w:tcPr>
            <w:tcW w:w="2795" w:type="dxa"/>
          </w:tcPr>
          <w:p w:rsidR="00E17315" w:rsidRDefault="00F009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5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Securing higher ranking / grades in NIRF / NAAC / NBA / CII / Industry Accreditations</w:t>
            </w:r>
          </w:p>
          <w:p w:rsidR="00E17315" w:rsidRDefault="00F009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5"/>
              </w:tabs>
              <w:spacing w:after="0" w:line="240" w:lineRule="auto"/>
              <w:ind w:left="275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Participation in National and International Level Competitions  </w:t>
            </w:r>
          </w:p>
          <w:p w:rsidR="00E17315" w:rsidRDefault="00F009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5"/>
              </w:tabs>
              <w:spacing w:after="0" w:line="240" w:lineRule="auto"/>
              <w:ind w:left="275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Achievements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of  Student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/Faculty/ Department/College </w:t>
            </w:r>
          </w:p>
          <w:p w:rsidR="00E17315" w:rsidRDefault="00F009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5"/>
              </w:tabs>
              <w:spacing w:after="0" w:line="240" w:lineRule="auto"/>
              <w:ind w:left="275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Signing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MoU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with International universities </w:t>
            </w:r>
          </w:p>
          <w:p w:rsidR="00E17315" w:rsidRDefault="00F009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5"/>
              </w:tabs>
              <w:spacing w:after="0" w:line="240" w:lineRule="auto"/>
              <w:ind w:left="275" w:hanging="27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Strengthening National and International Alumni Chapters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</w:p>
        </w:tc>
        <w:tc>
          <w:tcPr>
            <w:tcW w:w="3402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Fostering Global Competencies.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Services of the faculty to be extended to other institutions in a faculty exchange program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ensure research publications by all the faculty members of the institute.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encourage faculty members and students in national and international level events and awards.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To actively engage the faculty members in sponsored research and consultancy activ</w:t>
            </w: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ities.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The establishment of an alumni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centre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at the institute to facilitate alumni visits, events, and participation.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To offer modules on recent developments to alumni to support Lifelong learning.</w:t>
            </w:r>
          </w:p>
          <w:p w:rsidR="00E17315" w:rsidRDefault="00E1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lastRenderedPageBreak/>
              <w:t xml:space="preserve">Accreditations rating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Paper publications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Patent filing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Number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MoU’s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 with leading Institutes and MNC’s of relevance  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>Awards in national and international level competitions</w:t>
            </w:r>
          </w:p>
          <w:p w:rsidR="00E17315" w:rsidRDefault="00F0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9"/>
                <w:szCs w:val="19"/>
              </w:rPr>
              <w:t xml:space="preserve">Number of alumni chapters and activities </w:t>
            </w:r>
          </w:p>
        </w:tc>
        <w:tc>
          <w:tcPr>
            <w:tcW w:w="4536" w:type="dxa"/>
          </w:tcPr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 be known as one of the best institutions in academic excellence.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 produce graduates with high employer reputation and Higher Average Pay Package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To make significant contributions to the technology needs of the nation through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Consultancy,Patents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&amp; Products development</w:t>
            </w:r>
          </w:p>
          <w:p w:rsidR="00E17315" w:rsidRDefault="00F009B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7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To raise h-index closer to 100 through publication of quality research articles in journals of high repute and indexing in Scopus/ SCI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</w:tbl>
    <w:p w:rsidR="00E17315" w:rsidRDefault="00E17315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E17315">
      <w:pgSz w:w="15840" w:h="12240" w:orient="landscape"/>
      <w:pgMar w:top="1440" w:right="1440" w:bottom="11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63B"/>
    <w:multiLevelType w:val="multilevel"/>
    <w:tmpl w:val="EE5CF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E52FC"/>
    <w:multiLevelType w:val="multilevel"/>
    <w:tmpl w:val="A698C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0E2E85"/>
    <w:multiLevelType w:val="multilevel"/>
    <w:tmpl w:val="B70E1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4C2D89"/>
    <w:multiLevelType w:val="multilevel"/>
    <w:tmpl w:val="1414A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5B3D18"/>
    <w:multiLevelType w:val="multilevel"/>
    <w:tmpl w:val="1040E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396E89"/>
    <w:multiLevelType w:val="multilevel"/>
    <w:tmpl w:val="76A64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984A92"/>
    <w:multiLevelType w:val="multilevel"/>
    <w:tmpl w:val="FFC84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286104"/>
    <w:multiLevelType w:val="multilevel"/>
    <w:tmpl w:val="4D68E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C721CFB"/>
    <w:multiLevelType w:val="multilevel"/>
    <w:tmpl w:val="EDE653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49EB"/>
    <w:multiLevelType w:val="multilevel"/>
    <w:tmpl w:val="E1B44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FE83FE9"/>
    <w:multiLevelType w:val="multilevel"/>
    <w:tmpl w:val="01A45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121001"/>
    <w:multiLevelType w:val="multilevel"/>
    <w:tmpl w:val="30440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343581"/>
    <w:multiLevelType w:val="multilevel"/>
    <w:tmpl w:val="82240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66F6CD8"/>
    <w:multiLevelType w:val="multilevel"/>
    <w:tmpl w:val="D62CCF34"/>
    <w:lvl w:ilvl="0">
      <w:start w:val="1"/>
      <w:numFmt w:val="bullet"/>
      <w:lvlText w:val="●"/>
      <w:lvlJc w:val="left"/>
      <w:pPr>
        <w:ind w:left="8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767A7AFB"/>
    <w:multiLevelType w:val="multilevel"/>
    <w:tmpl w:val="71AC6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46C0D"/>
    <w:multiLevelType w:val="multilevel"/>
    <w:tmpl w:val="08527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FE13C50"/>
    <w:multiLevelType w:val="multilevel"/>
    <w:tmpl w:val="F328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6"/>
  </w:num>
  <w:num w:numId="6">
    <w:abstractNumId w:val="10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15"/>
    <w:rsid w:val="00E17315"/>
    <w:rsid w:val="00F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8D0DE-91BF-4C0B-A962-BB2EE20F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D02"/>
  </w:style>
  <w:style w:type="paragraph" w:styleId="Heading1">
    <w:name w:val="heading 1"/>
    <w:basedOn w:val="Normal"/>
    <w:next w:val="Normal"/>
    <w:link w:val="Heading1Char"/>
    <w:uiPriority w:val="9"/>
    <w:qFormat/>
    <w:rsid w:val="009F3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3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3D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D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D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D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D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Sans Serif" w:hAnsi="Microsoft Sans Serif" w:cs="Microsoft Sans Serif"/>
      <w:color w:val="000000"/>
      <w:position w:val="-1"/>
      <w:sz w:val="24"/>
      <w:szCs w:val="24"/>
    </w:rPr>
  </w:style>
  <w:style w:type="paragraph" w:styleId="ListParagraph">
    <w:name w:val="List Paragraph"/>
    <w:basedOn w:val="Normal"/>
    <w:uiPriority w:val="34"/>
    <w:qFormat/>
    <w:rsid w:val="009F3D02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01"/>
    <w:rPr>
      <w:rFonts w:ascii="Tahoma" w:hAnsi="Tahoma" w:cs="Tahoma"/>
      <w:position w:val="-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F3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F3D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F3D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D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D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D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F3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F3D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3D02"/>
    <w:rPr>
      <w:b/>
      <w:bCs/>
    </w:rPr>
  </w:style>
  <w:style w:type="character" w:styleId="Emphasis">
    <w:name w:val="Emphasis"/>
    <w:basedOn w:val="DefaultParagraphFont"/>
    <w:uiPriority w:val="20"/>
    <w:qFormat/>
    <w:rsid w:val="009F3D02"/>
    <w:rPr>
      <w:i/>
      <w:iCs/>
    </w:rPr>
  </w:style>
  <w:style w:type="paragraph" w:styleId="NoSpacing">
    <w:name w:val="No Spacing"/>
    <w:uiPriority w:val="1"/>
    <w:qFormat/>
    <w:rsid w:val="009F3D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3D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3D0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D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D0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3D0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3D0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3D0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3D0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3D0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F3D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03810"/>
    <w:pPr>
      <w:tabs>
        <w:tab w:val="left" w:pos="426"/>
        <w:tab w:val="right" w:leader="dot" w:pos="962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F3D0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805FB"/>
    <w:pPr>
      <w:spacing w:after="100"/>
      <w:ind w:left="220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+RyaCxmSuFoI1s//UyxFVG4UcA==">CgMxLjAyCGguZ2pkZ3hzMgloLjMwajB6bGwyCWguMWZvYjl0ZTIJaC4zem55c2g3MgloLjJldDkycDAyCGgudHlqY3d0MgloLjNkeTZ2a20yCWguMXQzaDVzZjIJaC40ZDM0b2c4MgloLjJzOGV5bzEyCWguMTdkcDh2dTgAciExTUpTQnM3SFFCdEtXX0hBWUVQNzNROHJ3dkJkV3c5eEg=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ETLSID-REC</dc:creator>
  <cp:lastModifiedBy>voice</cp:lastModifiedBy>
  <cp:revision>3</cp:revision>
  <cp:lastPrinted>2025-07-05T12:05:00Z</cp:lastPrinted>
  <dcterms:created xsi:type="dcterms:W3CDTF">2023-10-15T16:53:00Z</dcterms:created>
  <dcterms:modified xsi:type="dcterms:W3CDTF">2025-07-05T12:07:00Z</dcterms:modified>
</cp:coreProperties>
</file>